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160" w:type="dxa"/>
              <w:bottom w:w="150" w:type="dxa"/>
            </w:tcMar>
          </w:tcPr>
          <w:p>
            <w:pPr>
              <w:jc w:val="center"/>
              <w:spacing w:after="80" w:line="360"/>
              <w:rPr>
                <w:lang w:eastAsia="ko-KR"/>
                <w:rFonts w:ascii="맑은 고딕" w:eastAsia="맑은 고딕" w:hAnsi="맑은 고딕" w:hint="eastAsia"/>
                <w:b/>
                <w:i w:val="0"/>
                <w:color w:val="FFFFFF"/>
                <w:sz w:val="23"/>
                <w:rtl w:val="off"/>
              </w:rPr>
            </w:pPr>
            <w:r>
              <w:drawing>
                <wp:anchor distT="0" distB="0" distL="114300" distR="114300" behindDoc="0" locked="0" layoutInCell="1" simplePos="0" relativeHeight="251660288" allowOverlap="1" hidden="0">
                  <wp:simplePos x="0" y="0"/>
                  <wp:positionH relativeFrom="column">
                    <wp:posOffset>4940778</wp:posOffset>
                  </wp:positionH>
                  <wp:positionV relativeFrom="paragraph">
                    <wp:posOffset>-19050</wp:posOffset>
                  </wp:positionV>
                  <wp:extent cx="1399305" cy="924786"/>
                  <wp:effectExtent l="0" t="0" r="0" b="0"/>
                  <wp:wrapNone/>
                  <wp:docPr id="1025" name="shape102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9305" cy="924786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ko-KR"/>
                <w:rFonts w:ascii="맑은 고딕" w:eastAsia="맑은 고딕" w:hAnsi="맑은 고딕"/>
                <w:b/>
                <w:i w:val="0"/>
                <w:color w:val="FFFFFF"/>
                <w:sz w:val="23"/>
                <w:rtl w:val="off"/>
              </w:rPr>
              <w:t xml:space="preserve">                             </w:t>
            </w:r>
          </w:p>
          <w:p>
            <w:pPr>
              <w:jc w:val="left"/>
              <w:spacing w:after="80" w:line="360"/>
              <w:rPr>
                <w:color w:val="FFFFFF"/>
              </w:rPr>
            </w:pPr>
            <w:r>
              <w:rPr>
                <w:rFonts w:ascii="NanumSquare" w:eastAsia="NanumSquare" w:hAnsi="NanumSquare"/>
                <w:b/>
                <w:color w:val="FFFFFF"/>
                <w:sz w:val="40"/>
              </w:rPr>
              <w:t>2026 국가대표 지도자 공개채용 정정공고</w:t>
            </w:r>
          </w:p>
          <w:p>
            <w:pPr>
              <w:jc w:val="both"/>
            </w:pPr>
          </w:p>
        </w:tc>
      </w:tr>
    </w:tbl>
    <w:p>
      <w:pPr>
        <w:spacing w:after="60" w:line="360"/>
      </w:pPr>
    </w:p>
    <w:p>
      <w:pPr>
        <w:spacing w:after="60" w:line="360" w:lineRule="auto"/>
      </w:pPr>
      <w:r>
        <w:rPr>
          <w:rFonts w:ascii="NanumSquare" w:eastAsia="NanumSquare" w:hAnsi="NanumSquare"/>
          <w:b w:val="0"/>
          <w:sz w:val="20"/>
        </w:rPr>
        <w:t>대한테크볼협회는 2026년도 국가대표 지도자 공개채용과 관련하여 기존 공고문 중 국가대표 지도자 자격요건의 적용기준을 다음과 같이 정정 공고합니다.</w:t>
      </w:r>
    </w:p>
    <w:p>
      <w:pPr>
        <w:pStyle w:val="Heading1"/>
        <w:keepNext/>
        <w:spacing w:after="60" w:before="160" w:line="360"/>
      </w:pPr>
      <w:r>
        <w:t>1. 정정 사유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기존 공고문 중 “전문스포츠지도사 2급 이상 등 대한체육회 상위 기준상 필요한 자격요건”이라는 표현은 상위 기준 준수 취지를 담고 있으나, 테크볼 종목이 전문·생활스포츠지도사 자격 종목으로 운영되지 않는 경우의 적용기준을 충분히 특정하지 못할 수 있습니다.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이에 따라 국제연맹 또는 해당 종목 법인 단체가 인정하는 지도자 자격·교육 이수와 해당종목 지도경력 기준을 어떻게 심사에 반영하는지 명확히 안내할 필요가 있습니다.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정정공고는 지원자 간 동일 기준 적용, 기존 접수자 보호, 단수 지원자 자동 선발 방지, 대한체육회 승인 전 확정 오해 방지를 목적으로 합니다.</w:t>
      </w:r>
    </w:p>
    <w:p>
      <w:pPr>
        <w:pStyle w:val="Heading1"/>
        <w:keepNext/>
        <w:spacing w:after="60" w:before="160" w:line="360"/>
      </w:pPr>
      <w:r>
        <w:t>2. 정정 대상 및 방향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3326"/>
        <w:gridCol w:w="3326"/>
        <w:gridCol w:w="3326"/>
      </w:tblGrid>
      <w:tr>
        <w:trPr>
          <w:tblHeader/>
        </w:trPr>
        <w:tc>
          <w:tcPr>
            <w:tcW w:w="1701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구분</w:t>
            </w:r>
          </w:p>
        </w:tc>
        <w:tc>
          <w:tcPr>
            <w:tcW w:w="3628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기존 공고상 표현 또는 쟁점</w:t>
            </w:r>
          </w:p>
        </w:tc>
        <w:tc>
          <w:tcPr>
            <w:tcW w:w="4989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정정 후 안내 방향</w:t>
            </w:r>
          </w:p>
        </w:tc>
      </w:tr>
      <w:tr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자격요건 표현</w:t>
            </w:r>
          </w:p>
        </w:tc>
        <w:tc>
          <w:tcPr>
            <w:tcW w:w="362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전문스포츠지도사 2급 이상 등 대한체육회 상위 기준상 필요한 자격요건</w:t>
            </w:r>
          </w:p>
        </w:tc>
        <w:tc>
          <w:tcPr>
            <w:tcW w:w="498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테크볼이 전문·생활스포츠지도사 자격 종목으로 운영되지 않는 경우의 적용기준을 구체화</w:t>
            </w:r>
          </w:p>
        </w:tc>
      </w:tr>
      <w:tr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 자격</w:t>
            </w:r>
          </w:p>
        </w:tc>
        <w:tc>
          <w:tcPr>
            <w:tcW w:w="362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구체적인 지도경력 및 대체 가능 자료의 구분이 불명확</w:t>
            </w:r>
          </w:p>
        </w:tc>
        <w:tc>
          <w:tcPr>
            <w:tcW w:w="498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해당종목 지도경력 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>5년</w:t>
            </w: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 이상을 원칙으로 하며, 국제연맹 또는 해당 종목 법인 단체 인정 자격·교육을 확인자료로 검토</w:t>
            </w:r>
          </w:p>
        </w:tc>
      </w:tr>
      <w:tr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코치 자격</w:t>
            </w:r>
          </w:p>
        </w:tc>
        <w:tc>
          <w:tcPr>
            <w:tcW w:w="362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구체적인 지도경력 및 대체 가능 자료의 구분이 불명확</w:t>
            </w:r>
          </w:p>
        </w:tc>
        <w:tc>
          <w:tcPr>
            <w:tcW w:w="498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해당종목 지도경력 2년 이상을 원칙으로 하며, 국제연맹 또는 해당 종목 법인 단체 인정 자격·교육을 확인자료로 검토</w:t>
            </w:r>
          </w:p>
        </w:tc>
      </w:tr>
      <w:tr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보완자료</w:t>
            </w:r>
          </w:p>
        </w:tc>
        <w:tc>
          <w:tcPr>
            <w:tcW w:w="362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학위·국제대회 경력 등이 필수요건 대체수단처럼 오해될 가능성</w:t>
            </w:r>
          </w:p>
        </w:tc>
        <w:tc>
          <w:tcPr>
            <w:tcW w:w="498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학위, 국가대표 트레이닝 지도경력, 국제대회 지도자 참가경력은 보완 심사자료로만 반영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3. 정정 후 적용 자격요건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3326"/>
        <w:gridCol w:w="3326"/>
        <w:gridCol w:w="3326"/>
      </w:tblGrid>
      <w:tr>
        <w:trPr>
          <w:tblHeader/>
        </w:trPr>
        <w:tc>
          <w:tcPr>
            <w:tcW w:w="1134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모집분야</w:t>
            </w:r>
          </w:p>
        </w:tc>
        <w:tc>
          <w:tcPr>
            <w:tcW w:w="4535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필수 적용기준</w:t>
            </w:r>
          </w:p>
        </w:tc>
        <w:tc>
          <w:tcPr>
            <w:tcW w:w="3969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보완 심사자료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</w:t>
            </w:r>
          </w:p>
        </w:tc>
        <w:tc>
          <w:tcPr>
            <w:tcW w:w="453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해당종목 지도경력 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 xml:space="preserve">5년 </w:t>
            </w: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이상. 테크볼이 전문·생활스포츠지도사 자격 종목으로 운영되지 않는 경우 국제연맹 또는 해당 종목 법인 단체가 인정하는 지도자 자격·교육 이수 등을 자격 확인자료로 인정할 수 있음.</w:t>
            </w:r>
          </w:p>
        </w:tc>
        <w:tc>
          <w:tcPr>
            <w:tcW w:w="396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학위, 국가대표 또는 국제대회 지도·참가경력, 국제연맹 교육 이수, 선수단 운영계획, 지도철학, 윤리의식, 종목 발전 기여도 등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코치</w:t>
            </w:r>
          </w:p>
        </w:tc>
        <w:tc>
          <w:tcPr>
            <w:tcW w:w="453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해당종목 지도경력 2년 이상. 테크볼이 전문·생활스포츠지도사 자격 종목으로 운영되지 않는 경우 국제연맹 또는 해당 종목 법인 단체가 인정하는 지도자 자격·교육 이수 등을 자격 확인자료로 인정할 수 있음.</w:t>
            </w:r>
          </w:p>
        </w:tc>
        <w:tc>
          <w:tcPr>
            <w:tcW w:w="3969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학위, 선수 지도 및 트레이닝 경력, 국제대회 지도자 참가경력, 훈련 보조역량, 선수 소통능력, 윤리의식 등</w:t>
            </w:r>
          </w:p>
        </w:tc>
      </w:tr>
    </w:tbl>
    <w:p>
      <w:pPr>
        <w:spacing w:after="60" w:line="360"/>
      </w:pPr>
    </w:p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4. 기존 접수자 처리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기존 공고에 따라 이미 지원한 지원자는 정정된 자격요건 적용기준에 따라 동일하게 심사합니다.</w:t>
      </w:r>
    </w:p>
    <w:p>
      <w:pPr>
        <w:spacing w:line="360"/>
        <w:rPr>
          <w:lang w:eastAsia="ko-KR"/>
          <w:rFonts w:hint="eastAsia"/>
          <w:rtl w:val="off"/>
        </w:rPr>
      </w:pPr>
      <w:r>
        <w:rPr>
          <w:lang w:eastAsia="ko-KR"/>
          <w:rFonts w:ascii="NanumSquare" w:eastAsia="NanumSquare" w:hAnsi="NanumSquare"/>
          <w:sz w:val="19"/>
          <w:rtl w:val="off"/>
        </w:rPr>
        <w:t xml:space="preserve">  </w:t>
      </w:r>
      <w:r>
        <w:rPr>
          <w:rFonts w:ascii="NanumSquare" w:eastAsia="NanumSquare" w:hAnsi="NanumSquare"/>
          <w:sz w:val="19"/>
        </w:rPr>
        <w:t xml:space="preserve">• </w:t>
      </w:r>
      <w:r>
        <w:rPr/>
        <w:t xml:space="preserve">정정사항과 관련하여 추가 증빙이 필요한 경우, 기존 접수자는 2026년 5월 </w:t>
      </w:r>
      <w:r>
        <w:rPr>
          <w:lang w:eastAsia="ko-KR"/>
          <w:rtl w:val="off"/>
        </w:rPr>
        <w:t>27</w:t>
      </w:r>
      <w:r>
        <w:rPr/>
        <w:t>일 17:00까지 보완서류를</w:t>
      </w:r>
      <w:r>
        <w:rPr>
          <w:lang w:eastAsia="ko-KR"/>
          <w:rtl w:val="off"/>
        </w:rPr>
        <w:t xml:space="preserve"> </w:t>
      </w:r>
    </w:p>
    <w:p>
      <w:pPr>
        <w:spacing w:line="360"/>
        <w:rPr/>
      </w:pPr>
      <w:r>
        <w:rPr>
          <w:lang w:eastAsia="ko-KR"/>
          <w:rtl w:val="off"/>
        </w:rPr>
        <w:t xml:space="preserve">    </w:t>
      </w:r>
      <w:r>
        <w:rPr/>
        <w:t>제출할 수 있습니다.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정정공고로 인하여 기존 지원자에게 불이익이 발생하지 않도록 기존 제출서류와 보완서류를 함께 검토합니다.</w:t>
      </w:r>
    </w:p>
    <w:p>
      <w:pPr>
        <w:pStyle w:val="Heading1"/>
        <w:keepNext/>
        <w:spacing w:after="60" w:before="160" w:line="360"/>
        <w:rPr>
          <w:lang w:eastAsia="ko-KR"/>
          <w:rFonts w:hint="eastAsia"/>
          <w:rtl w:val="off"/>
        </w:rPr>
      </w:pPr>
    </w:p>
    <w:p>
      <w:pPr>
        <w:pStyle w:val="Heading1"/>
        <w:keepNext/>
        <w:spacing w:after="60" w:before="160" w:line="360"/>
      </w:pPr>
      <w:r>
        <w:t>5. 단수 지원자 및 최종 확정 원칙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단수 지원자라도 서류심사, 면접심사, 결격사유 확인, 자격요건 충족 여부 및 국가대표 지도자로서의 적격성 심사를 거쳐 추천 여부를 결정합니다.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경기력향상위원회 심의·추천, 이사회 의결 및 대한체육회 승인 절차를 거쳐야 하며, 승인 전에는 최종 확정자로 보지 않습니다.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본 정정공고에서 정하지 않은 사항은 기존 공고문, 대한체육회 관련 규정, 협회 내부 절차에 따릅니다.</w:t>
      </w:r>
    </w:p>
    <w:p>
      <w:pPr>
        <w:jc w:val="right"/>
        <w:spacing w:before="240" w:line="360"/>
      </w:pPr>
      <w:r>
        <w:rPr>
          <w:rFonts w:ascii="NanumSquare" w:eastAsia="NanumSquare" w:hAnsi="NanumSquare"/>
          <w:sz w:val="20"/>
        </w:rPr>
        <w:t xml:space="preserve">2026년 5월 </w:t>
      </w:r>
      <w:r>
        <w:rPr>
          <w:lang w:eastAsia="ko-KR"/>
          <w:rFonts w:ascii="NanumSquare" w:eastAsia="NanumSquare" w:hAnsi="NanumSquare"/>
          <w:sz w:val="20"/>
          <w:rtl w:val="off"/>
        </w:rPr>
        <w:t>21</w:t>
      </w:r>
      <w:r>
        <w:rPr>
          <w:rFonts w:ascii="NanumSquare" w:eastAsia="NanumSquare" w:hAnsi="NanumSquare"/>
          <w:sz w:val="20"/>
        </w:rPr>
        <w:t>일</w:t>
      </w:r>
    </w:p>
    <w:p>
      <w:pPr>
        <w:jc w:val="right"/>
        <w:spacing w:line="360"/>
      </w:pPr>
      <w:r>
        <w:rPr>
          <w:rFonts w:ascii="NanumSquare" w:eastAsia="NanumSquare" w:hAnsi="NanumSquare"/>
          <w:b/>
          <w:color w:val="1F4E79"/>
          <w:sz w:val="26"/>
        </w:rPr>
        <w:t>대한테크볼협회장</w:t>
      </w:r>
    </w:p>
    <w:sectPr>
      <w:pgSz w:w="11906" w:h="16838"/>
      <w:pgMar w:top="822" w:right="964" w:bottom="737" w:left="964" w:header="397" w:footer="397" w:gutter="0"/>
      <w:cols w:space="720"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NanumSquare">
    <w:charset w:val="00"/>
    <w:notTrueType w:val="false"/>
  </w:font>
  <w:font w:name="Courier">
    <w:panose1 w:val="02000500FFFFFFFFFFFF"/>
    <w:family w:val="auto"/>
    <w:charset w:val="00"/>
    <w:notTrueType w:val="false"/>
    <w:pitch w:val="variable"/>
    <w:sig w:usb0="00000003" w:usb1="00000000" w:usb2="00000000" w:usb3="00000000" w:csb0="00000001" w:csb1="00000000"/>
  </w:font>
  <w:font w:name="Symbol">
    <w:panose1 w:val="05050102010706020507"/>
    <w:family w:val="auto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Footer"/>
      <w:jc w:val="center"/>
    </w:pPr>
    <w:r>
      <w:rPr>
        <w:rFonts w:ascii="NanumSquare" w:eastAsia="NanumSquare" w:hAnsi="NanumSquare"/>
        <w:color w:val="666666"/>
        <w:sz w:val="16"/>
      </w:rPr>
      <w:t>본 문서는 대한체육회 게시 및 협회 내부 의사결정 보조를 위한 제출용 안입니다.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rFonts w:ascii="NanumSquare" w:eastAsia="NanumSquare" w:hAnsi="NanumSquare"/>
        <w:color w:val="666666"/>
        <w:sz w:val="16"/>
      </w:rPr>
      <w:t>대한테크볼협회 | 2026 국가대표 지도자 공개채용 정정공고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388835"/>
    <w:lsdException w:name="toc 2" w:uiPriority="1388835"/>
    <w:lsdException w:name="toc 3" w:uiPriority="1388835"/>
    <w:lsdException w:name="toc 4" w:uiPriority="1388835"/>
    <w:lsdException w:name="toc 5" w:uiPriority="1388835"/>
    <w:lsdException w:name="toc 6" w:uiPriority="1388835"/>
    <w:lsdException w:name="toc 7" w:uiPriority="1388835"/>
    <w:lsdException w:name="toc 8" w:uiPriority="1388835"/>
    <w:lsdException w:name="toc 9" w:uiPriority="1388835"/>
    <w:lsdException w:name="caption" w:uiPriority="1388693" w:qFormat="1"/>
    <w:lsdException w:name="Title" w:semiHidden="0" w:uiPriority="6406" w:unhideWhenUsed="0" w:qFormat="1"/>
    <w:lsdException w:name="Default Paragraph Font" w:uiPriority="1"/>
    <w:lsdException w:name="Subtitle" w:semiHidden="0" w:uiPriority="6407" w:unhideWhenUsed="0" w:qFormat="1"/>
    <w:lsdException w:name="Strong" w:semiHidden="0" w:uiPriority="153094" w:unhideWhenUsed="0" w:qFormat="1"/>
    <w:lsdException w:name="Emphasis" w:semiHidden="0" w:uiPriority="139592" w:unhideWhenUsed="0" w:qFormat="1"/>
    <w:lsdException w:name="Table Grid" w:semiHidden="0" w:uiPriority="20482325" w:unhideWhenUsed="0"/>
    <w:lsdException w:name="Placeholder Text" w:unhideWhenUsed="0"/>
    <w:lsdException w:name="No Spacing" w:semiHidden="0" w:uiPriority="1" w:unhideWhenUsed="0" w:qFormat="1"/>
    <w:lsdException w:name="Light Shading" w:semiHidden="0" w:uiPriority="35009334" w:unhideWhenUsed="0"/>
    <w:lsdException w:name="Light List" w:semiHidden="0" w:uiPriority="35009335" w:unhideWhenUsed="0"/>
    <w:lsdException w:name="Light Grid" w:semiHidden="0" w:uiPriority="35009348" w:unhideWhenUsed="0"/>
    <w:lsdException w:name="Medium Shading 1" w:semiHidden="0" w:uiPriority="35009349" w:unhideWhenUsed="0"/>
    <w:lsdException w:name="Medium Shading 2" w:semiHidden="0" w:uiPriority="421734532" w:unhideWhenUsed="0"/>
    <w:lsdException w:name="Medium List 1" w:semiHidden="0" w:uiPriority="421734533" w:unhideWhenUsed="0"/>
    <w:lsdException w:name="Medium List 2" w:semiHidden="0" w:uiPriority="422802258" w:unhideWhenUsed="0"/>
    <w:lsdException w:name="Medium Grid 1" w:semiHidden="0" w:uiPriority="422802259" w:unhideWhenUsed="0"/>
    <w:lsdException w:name="Medium Grid 2" w:semiHidden="0" w:uiPriority="422802728" w:unhideWhenUsed="0"/>
    <w:lsdException w:name="Medium Grid 3" w:semiHidden="0" w:uiPriority="422802729" w:unhideWhenUsed="0"/>
    <w:lsdException w:name="Dark List" w:semiHidden="0" w:uiPriority="422807686" w:unhideWhenUsed="0"/>
    <w:lsdException w:name="Colorful Shading" w:semiHidden="0" w:uiPriority="422807687" w:unhideWhenUsed="0"/>
    <w:lsdException w:name="Colorful List" w:semiHidden="0" w:uiPriority="422868888" w:unhideWhenUsed="0"/>
    <w:lsdException w:name="Colorful Grid" w:semiHidden="0" w:uiPriority="422868889" w:unhideWhenUsed="0"/>
    <w:lsdException w:name="Light Shading Accent 1" w:semiHidden="0" w:uiPriority="35009334" w:unhideWhenUsed="0"/>
    <w:lsdException w:name="Light List Accent 1" w:semiHidden="0" w:uiPriority="35009335" w:unhideWhenUsed="0"/>
    <w:lsdException w:name="Light Grid Accent 1" w:semiHidden="0" w:uiPriority="35009348" w:unhideWhenUsed="0"/>
    <w:lsdException w:name="Medium Shading 1 Accent 1" w:semiHidden="0" w:uiPriority="35009349" w:unhideWhenUsed="0"/>
    <w:lsdException w:name="Medium Shading 2 Accent 1" w:semiHidden="0" w:uiPriority="421734532" w:unhideWhenUsed="0"/>
    <w:lsdException w:name="Medium List 1 Accent 1" w:semiHidden="0" w:uiPriority="421734533" w:unhideWhenUsed="0"/>
    <w:lsdException w:name="Revision" w:unhideWhenUsed="0"/>
    <w:lsdException w:name="List Paragraph" w:semiHidden="0" w:uiPriority="1388692" w:unhideWhenUsed="0" w:qFormat="1"/>
    <w:lsdException w:name="Quote" w:semiHidden="0" w:uiPriority="1257875" w:unhideWhenUsed="0" w:qFormat="1"/>
    <w:lsdException w:name="Intense Quote" w:semiHidden="0" w:uiPriority="1273956" w:unhideWhenUsed="0" w:qFormat="1"/>
    <w:lsdException w:name="Medium List 2 Accent 1" w:semiHidden="0" w:uiPriority="422802258" w:unhideWhenUsed="0"/>
    <w:lsdException w:name="Medium Grid 1 Accent 1" w:semiHidden="0" w:uiPriority="422802259" w:unhideWhenUsed="0"/>
    <w:lsdException w:name="Medium Grid 2 Accent 1" w:semiHidden="0" w:uiPriority="422802728" w:unhideWhenUsed="0"/>
    <w:lsdException w:name="Medium Grid 3 Accent 1" w:semiHidden="0" w:uiPriority="422802729" w:unhideWhenUsed="0"/>
    <w:lsdException w:name="Dark List Accent 1" w:semiHidden="0" w:uiPriority="422807686" w:unhideWhenUsed="0"/>
    <w:lsdException w:name="Colorful Shading Accent 1" w:semiHidden="0" w:uiPriority="422807687" w:unhideWhenUsed="0"/>
    <w:lsdException w:name="Colorful List Accent 1" w:semiHidden="0" w:uiPriority="422868888" w:unhideWhenUsed="0"/>
    <w:lsdException w:name="Colorful Grid Accent 1" w:semiHidden="0" w:uiPriority="422868889" w:unhideWhenUsed="0"/>
    <w:lsdException w:name="Light Shading Accent 2" w:semiHidden="0" w:uiPriority="35009334" w:unhideWhenUsed="0"/>
    <w:lsdException w:name="Light List Accent 2" w:semiHidden="0" w:uiPriority="35009335" w:unhideWhenUsed="0"/>
    <w:lsdException w:name="Light Grid Accent 2" w:semiHidden="0" w:uiPriority="35009348" w:unhideWhenUsed="0"/>
    <w:lsdException w:name="Medium Shading 1 Accent 2" w:semiHidden="0" w:uiPriority="35009349" w:unhideWhenUsed="0"/>
    <w:lsdException w:name="Medium Shading 2 Accent 2" w:semiHidden="0" w:uiPriority="421734532" w:unhideWhenUsed="0"/>
    <w:lsdException w:name="Medium List 1 Accent 2" w:semiHidden="0" w:uiPriority="421734533" w:unhideWhenUsed="0"/>
    <w:lsdException w:name="Medium List 2 Accent 2" w:semiHidden="0" w:uiPriority="422802258" w:unhideWhenUsed="0"/>
    <w:lsdException w:name="Medium Grid 1 Accent 2" w:semiHidden="0" w:uiPriority="422802259" w:unhideWhenUsed="0"/>
    <w:lsdException w:name="Medium Grid 2 Accent 2" w:semiHidden="0" w:uiPriority="422802728" w:unhideWhenUsed="0"/>
    <w:lsdException w:name="Medium Grid 3 Accent 2" w:semiHidden="0" w:uiPriority="422802729" w:unhideWhenUsed="0"/>
    <w:lsdException w:name="Dark List Accent 2" w:semiHidden="0" w:uiPriority="422807686" w:unhideWhenUsed="0"/>
    <w:lsdException w:name="Colorful Shading Accent 2" w:semiHidden="0" w:uiPriority="422807687" w:unhideWhenUsed="0"/>
    <w:lsdException w:name="Colorful List Accent 2" w:semiHidden="0" w:uiPriority="422868888" w:unhideWhenUsed="0"/>
    <w:lsdException w:name="Colorful Grid Accent 2" w:semiHidden="0" w:uiPriority="422868889" w:unhideWhenUsed="0"/>
    <w:lsdException w:name="Light Shading Accent 3" w:semiHidden="0" w:uiPriority="35009334" w:unhideWhenUsed="0"/>
    <w:lsdException w:name="Light List Accent 3" w:semiHidden="0" w:uiPriority="35009335" w:unhideWhenUsed="0"/>
    <w:lsdException w:name="Light Grid Accent 3" w:semiHidden="0" w:uiPriority="35009348" w:unhideWhenUsed="0"/>
    <w:lsdException w:name="Medium Shading 1 Accent 3" w:semiHidden="0" w:uiPriority="35009349" w:unhideWhenUsed="0"/>
    <w:lsdException w:name="Medium Shading 2 Accent 3" w:semiHidden="0" w:uiPriority="421734532" w:unhideWhenUsed="0"/>
    <w:lsdException w:name="Medium List 1 Accent 3" w:semiHidden="0" w:uiPriority="421734533" w:unhideWhenUsed="0"/>
    <w:lsdException w:name="Medium List 2 Accent 3" w:semiHidden="0" w:uiPriority="422802258" w:unhideWhenUsed="0"/>
    <w:lsdException w:name="Medium Grid 1 Accent 3" w:semiHidden="0" w:uiPriority="422802259" w:unhideWhenUsed="0"/>
    <w:lsdException w:name="Medium Grid 2 Accent 3" w:semiHidden="0" w:uiPriority="422802728" w:unhideWhenUsed="0"/>
    <w:lsdException w:name="Medium Grid 3 Accent 3" w:semiHidden="0" w:uiPriority="422802729" w:unhideWhenUsed="0"/>
    <w:lsdException w:name="Dark List Accent 3" w:semiHidden="0" w:uiPriority="422807686" w:unhideWhenUsed="0"/>
    <w:lsdException w:name="Colorful Shading Accent 3" w:semiHidden="0" w:uiPriority="422807687" w:unhideWhenUsed="0"/>
    <w:lsdException w:name="Colorful List Accent 3" w:semiHidden="0" w:uiPriority="422868888" w:unhideWhenUsed="0"/>
    <w:lsdException w:name="Colorful Grid Accent 3" w:semiHidden="0" w:uiPriority="422868889" w:unhideWhenUsed="0"/>
    <w:lsdException w:name="Light Shading Accent 4" w:semiHidden="0" w:uiPriority="35009334" w:unhideWhenUsed="0"/>
    <w:lsdException w:name="Light List Accent 4" w:semiHidden="0" w:uiPriority="35009335" w:unhideWhenUsed="0"/>
    <w:lsdException w:name="Light Grid Accent 4" w:semiHidden="0" w:uiPriority="35009348" w:unhideWhenUsed="0"/>
    <w:lsdException w:name="Medium Shading 1 Accent 4" w:semiHidden="0" w:uiPriority="35009349" w:unhideWhenUsed="0"/>
    <w:lsdException w:name="Medium Shading 2 Accent 4" w:semiHidden="0" w:uiPriority="421734532" w:unhideWhenUsed="0"/>
    <w:lsdException w:name="Medium List 1 Accent 4" w:semiHidden="0" w:uiPriority="421734533" w:unhideWhenUsed="0"/>
    <w:lsdException w:name="Medium List 2 Accent 4" w:semiHidden="0" w:uiPriority="422802258" w:unhideWhenUsed="0"/>
    <w:lsdException w:name="Medium Grid 1 Accent 4" w:semiHidden="0" w:uiPriority="422802259" w:unhideWhenUsed="0"/>
    <w:lsdException w:name="Medium Grid 2 Accent 4" w:semiHidden="0" w:uiPriority="422802728" w:unhideWhenUsed="0"/>
    <w:lsdException w:name="Medium Grid 3 Accent 4" w:semiHidden="0" w:uiPriority="422802729" w:unhideWhenUsed="0"/>
    <w:lsdException w:name="Dark List Accent 4" w:semiHidden="0" w:uiPriority="422807686" w:unhideWhenUsed="0"/>
    <w:lsdException w:name="Colorful Shading Accent 4" w:semiHidden="0" w:uiPriority="422807687" w:unhideWhenUsed="0"/>
    <w:lsdException w:name="Colorful List Accent 4" w:semiHidden="0" w:uiPriority="422868888" w:unhideWhenUsed="0"/>
    <w:lsdException w:name="Colorful Grid Accent 4" w:semiHidden="0" w:uiPriority="422868889" w:unhideWhenUsed="0"/>
    <w:lsdException w:name="Light Shading Accent 5" w:semiHidden="0" w:uiPriority="35009334" w:unhideWhenUsed="0"/>
    <w:lsdException w:name="Light List Accent 5" w:semiHidden="0" w:uiPriority="35009335" w:unhideWhenUsed="0"/>
    <w:lsdException w:name="Light Grid Accent 5" w:semiHidden="0" w:uiPriority="35009348" w:unhideWhenUsed="0"/>
    <w:lsdException w:name="Medium Shading 1 Accent 5" w:semiHidden="0" w:uiPriority="35009349" w:unhideWhenUsed="0"/>
    <w:lsdException w:name="Medium Shading 2 Accent 5" w:semiHidden="0" w:uiPriority="421734532" w:unhideWhenUsed="0"/>
    <w:lsdException w:name="Medium List 1 Accent 5" w:semiHidden="0" w:uiPriority="421734533" w:unhideWhenUsed="0"/>
    <w:lsdException w:name="Medium List 2 Accent 5" w:semiHidden="0" w:uiPriority="422802258" w:unhideWhenUsed="0"/>
    <w:lsdException w:name="Medium Grid 1 Accent 5" w:semiHidden="0" w:uiPriority="422802259" w:unhideWhenUsed="0"/>
    <w:lsdException w:name="Medium Grid 2 Accent 5" w:semiHidden="0" w:uiPriority="422802728" w:unhideWhenUsed="0"/>
    <w:lsdException w:name="Medium Grid 3 Accent 5" w:semiHidden="0" w:uiPriority="422802729" w:unhideWhenUsed="0"/>
    <w:lsdException w:name="Dark List Accent 5" w:semiHidden="0" w:uiPriority="422807686" w:unhideWhenUsed="0"/>
    <w:lsdException w:name="Colorful Shading Accent 5" w:semiHidden="0" w:uiPriority="422807687" w:unhideWhenUsed="0"/>
    <w:lsdException w:name="Colorful List Accent 5" w:semiHidden="0" w:uiPriority="422868888" w:unhideWhenUsed="0"/>
    <w:lsdException w:name="Colorful Grid Accent 5" w:semiHidden="0" w:uiPriority="422868889" w:unhideWhenUsed="0"/>
    <w:lsdException w:name="Light Shading Accent 6" w:semiHidden="0" w:uiPriority="35009334" w:unhideWhenUsed="0"/>
    <w:lsdException w:name="Light List Accent 6" w:semiHidden="0" w:uiPriority="35009335" w:unhideWhenUsed="0"/>
    <w:lsdException w:name="Light Grid Accent 6" w:semiHidden="0" w:uiPriority="35009348" w:unhideWhenUsed="0"/>
    <w:lsdException w:name="Medium Shading 1 Accent 6" w:semiHidden="0" w:uiPriority="35009349" w:unhideWhenUsed="0"/>
    <w:lsdException w:name="Medium Shading 2 Accent 6" w:semiHidden="0" w:uiPriority="421734532" w:unhideWhenUsed="0"/>
    <w:lsdException w:name="Medium List 1 Accent 6" w:semiHidden="0" w:uiPriority="421734533" w:unhideWhenUsed="0"/>
    <w:lsdException w:name="Medium List 2 Accent 6" w:semiHidden="0" w:uiPriority="422802258" w:unhideWhenUsed="0"/>
    <w:lsdException w:name="Medium Grid 1 Accent 6" w:semiHidden="0" w:uiPriority="422802259" w:unhideWhenUsed="0"/>
    <w:lsdException w:name="Medium Grid 2 Accent 6" w:semiHidden="0" w:uiPriority="422802728" w:unhideWhenUsed="0"/>
    <w:lsdException w:name="Medium Grid 3 Accent 6" w:semiHidden="0" w:uiPriority="422802729" w:unhideWhenUsed="0"/>
    <w:lsdException w:name="Dark List Accent 6" w:semiHidden="0" w:uiPriority="422807686" w:unhideWhenUsed="0"/>
    <w:lsdException w:name="Colorful Shading Accent 6" w:semiHidden="0" w:uiPriority="422807687" w:unhideWhenUsed="0"/>
    <w:lsdException w:name="Colorful List Accent 6" w:semiHidden="0" w:uiPriority="422868888" w:unhideWhenUsed="0"/>
    <w:lsdException w:name="Colorful Grid Accent 6" w:semiHidden="0" w:uiPriority="422868889" w:unhideWhenUsed="0"/>
    <w:lsdException w:name="Subtle Emphasis" w:semiHidden="0" w:uiPriority="25609" w:unhideWhenUsed="0" w:qFormat="1"/>
    <w:lsdException w:name="Intense Emphasis" w:semiHidden="0" w:uiPriority="139593" w:unhideWhenUsed="0" w:qFormat="1"/>
    <w:lsdException w:name="Subtle Reference" w:semiHidden="0" w:uiPriority="1273957" w:unhideWhenUsed="0" w:qFormat="1"/>
    <w:lsdException w:name="Intense Reference" w:semiHidden="0" w:uiPriority="1283474" w:unhideWhenUsed="0" w:qFormat="1"/>
    <w:lsdException w:name="Book Title" w:semiHidden="0" w:uiPriority="1283475" w:unhideWhenUsed="0" w:qFormat="1"/>
    <w:lsdException w:name="Bibliography" w:uiPriority="1388695"/>
    <w:lsdException w:name="TOC Heading" w:uiPriority="1388835" w:qFormat="1"/>
  </w:latentStyles>
  <w:style w:type="paragraph" w:default="1" w:styleId="Normal">
    <w:name w:val="Normal"/>
    <w:qFormat/>
    <w:rPr>
      <w:rFonts w:ascii="NanumSquare" w:eastAsia="NanumSquare" w:hAnsi="NanumSquare"/>
      <w:sz w:val="20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EastAsia" w:hAnsiTheme="majorHAnsi" w:cstheme="majorBidi"/>
      <w:b/>
      <w:bCs/>
      <w:color w:val="2F75B5"/>
      <w:sz w:val="24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EastAsia" w:hAnsiTheme="majorHAnsi" w:cstheme="majorBidi"/>
      <w:b/>
      <w:bCs/>
      <w:color w:val="333333"/>
      <w:sz w:val="22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EastAsia" w:hAnsiTheme="majorHAnsi" w:cstheme="majorBidi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EastAsia" w:hAnsiTheme="majorHAnsi" w:cstheme="majorBidi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EastAsia" w:hAnsiTheme="majorHAnsi" w:cstheme="majorBidi"/>
      <w:i/>
      <w:iCs/>
      <w:color w:val="3F3F3F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b/>
      <w:color w:val="1F4E79"/>
      <w:sz w:val="40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EastAsia" w:hAnsiTheme="majorHAnsi" w:cstheme="majorBidi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7F7F7F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  <w:insideV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3F3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  <w:insideV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color w:val="000000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BCB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A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7F7F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C0DE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89898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9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7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CCC1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7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BD5B5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BCBCB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BF1DD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E0EC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BCBCB" w:themeFill="text1" w:themeFillTint="33"/>
    </w:tcPr>
    <w:tblStylePr w:type="firstRow">
      <w:rPr>
        <w:b/>
        <w:bCs/>
      </w:rPr>
      <w:tblPr/>
      <w:tcPr>
        <w:shd w:val="clear" w:color="auto" w:fill="989898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89898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9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9B7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1DD" w:themeFill="accent3" w:themeFillTint="33"/>
    </w:tcPr>
    <w:tblStylePr w:type="firstRow">
      <w:rPr>
        <w:b/>
        <w:bCs/>
      </w:rPr>
      <w:tblPr/>
      <w:tcPr>
        <w:shd w:val="clear" w:color="auto" w:fill="D7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7E3BC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0EC" w:themeFill="accent4" w:themeFillTint="33"/>
    </w:tcPr>
    <w:tblStylePr w:type="firstRow">
      <w:rPr>
        <w:b/>
        <w:bCs/>
      </w:rPr>
      <w:tblPr/>
      <w:tcPr>
        <w:shd w:val="clear" w:color="auto" w:fill="CCC1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1D9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7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7DDE8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AD9" w:themeFill="accent6" w:themeFillTint="33"/>
    </w:tcPr>
    <w:tblStylePr w:type="firstRow">
      <w:rPr>
        <w:b/>
        <w:bCs/>
      </w:rPr>
      <w:tblPr/>
      <w:tcPr>
        <w:shd w:val="clear" w:color="auto" w:fill="FBD5B5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5B5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pn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</cp:revision>
  <dcterms:created xsi:type="dcterms:W3CDTF">2013-12-23T23:15:00Z</dcterms:created>
  <dcterms:modified xsi:type="dcterms:W3CDTF">2026-05-20T11:04:48Z</dcterms:modified>
  <cp:version>1200.0100.01</cp:version>
</cp:coreProperties>
</file>